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40D8" w14:textId="1D7533DF" w:rsidR="00D94F12" w:rsidRPr="00D94F12" w:rsidRDefault="00D94F12" w:rsidP="00D94F12">
      <w:pPr>
        <w:jc w:val="center"/>
        <w:rPr>
          <w:b/>
          <w:u w:val="single"/>
        </w:rPr>
      </w:pPr>
      <w:r w:rsidRPr="00D94F12">
        <w:rPr>
          <w:b/>
          <w:u w:val="single"/>
        </w:rPr>
        <w:t>NFOS DE LA CCI</w:t>
      </w:r>
      <w:r>
        <w:rPr>
          <w:b/>
          <w:u w:val="single"/>
        </w:rPr>
        <w:t>_(11/06/2024)</w:t>
      </w:r>
    </w:p>
    <w:p w14:paraId="194D6C19" w14:textId="77777777" w:rsidR="00D94F12" w:rsidRPr="00D94F12" w:rsidRDefault="00D94F12" w:rsidP="00D94F12">
      <w:pPr>
        <w:jc w:val="both"/>
        <w:rPr>
          <w:sz w:val="24"/>
          <w:szCs w:val="24"/>
        </w:rPr>
      </w:pPr>
      <w:r w:rsidRPr="00D94F12">
        <w:rPr>
          <w:sz w:val="24"/>
          <w:szCs w:val="24"/>
        </w:rPr>
        <w:t xml:space="preserve">Règlementations en cours : </w:t>
      </w:r>
    </w:p>
    <w:p w14:paraId="4A38B573" w14:textId="77777777" w:rsidR="00D94F12" w:rsidRPr="00D94F12" w:rsidRDefault="00D94F12" w:rsidP="00D94F12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  <w:highlight w:val="yellow"/>
        </w:rPr>
      </w:pPr>
      <w:r w:rsidRPr="00D94F12">
        <w:rPr>
          <w:b/>
          <w:bCs/>
          <w:sz w:val="28"/>
          <w:szCs w:val="28"/>
          <w:highlight w:val="yellow"/>
        </w:rPr>
        <w:t>Rappel des mises aux normes accessibilité :  des aides sont possibles !</w:t>
      </w:r>
    </w:p>
    <w:p w14:paraId="70C88BA8" w14:textId="7C95E9B8" w:rsidR="00D94F12" w:rsidRDefault="00D94F12" w:rsidP="00D94F12">
      <w:pPr>
        <w:jc w:val="both"/>
        <w:rPr>
          <w:rFonts w:ascii="Marianne" w:eastAsia="Times New Roman" w:hAnsi="Marianne" w:cs="Times New Roman"/>
          <w:b/>
          <w:bCs/>
          <w:color w:val="3A3A3A"/>
          <w:kern w:val="36"/>
          <w:sz w:val="24"/>
          <w:szCs w:val="24"/>
          <w:lang w:eastAsia="fr-FR"/>
        </w:rPr>
      </w:pPr>
      <w:r w:rsidRPr="00D94F12">
        <w:rPr>
          <w:sz w:val="24"/>
          <w:szCs w:val="24"/>
        </w:rPr>
        <w:t> Aides de la CCBSA, de la région et de Leader pour les modernisations.</w:t>
      </w:r>
    </w:p>
    <w:p w14:paraId="2F83154A" w14:textId="77777777" w:rsidR="00D94F12" w:rsidRDefault="00D94F12" w:rsidP="00D94F12">
      <w:pPr>
        <w:jc w:val="both"/>
        <w:rPr>
          <w:rFonts w:ascii="Marianne" w:eastAsia="Times New Roman" w:hAnsi="Marianne" w:cs="Times New Roman"/>
          <w:b/>
          <w:bCs/>
          <w:color w:val="3A3A3A"/>
          <w:kern w:val="36"/>
          <w:sz w:val="24"/>
          <w:szCs w:val="24"/>
          <w:lang w:eastAsia="fr-FR"/>
        </w:rPr>
      </w:pPr>
    </w:p>
    <w:p w14:paraId="450B0BC5" w14:textId="053DD0E2" w:rsidR="00D94F12" w:rsidRPr="00D94F12" w:rsidRDefault="00D94F12" w:rsidP="00D94F12">
      <w:pPr>
        <w:jc w:val="both"/>
        <w:rPr>
          <w:rFonts w:ascii="Marianne" w:eastAsia="Times New Roman" w:hAnsi="Marianne" w:cs="Times New Roman"/>
          <w:b/>
          <w:bCs/>
          <w:color w:val="3A3A3A"/>
          <w:kern w:val="36"/>
          <w:sz w:val="24"/>
          <w:szCs w:val="24"/>
          <w:lang w:eastAsia="fr-FR"/>
        </w:rPr>
      </w:pPr>
      <w:r w:rsidRPr="00D94F12">
        <w:rPr>
          <w:rFonts w:ascii="Marianne" w:eastAsia="Times New Roman" w:hAnsi="Marianne" w:cs="Times New Roman"/>
          <w:b/>
          <w:bCs/>
          <w:color w:val="3A3A3A"/>
          <w:kern w:val="36"/>
          <w:sz w:val="24"/>
          <w:szCs w:val="24"/>
          <w:lang w:eastAsia="fr-FR"/>
        </w:rPr>
        <w:t>Ouverture du fonds accessibilité pour accompagner les commerces et les établissements de proximité</w:t>
      </w:r>
    </w:p>
    <w:p w14:paraId="53CF5F4E" w14:textId="77777777" w:rsidR="00D94F12" w:rsidRDefault="00D94F12" w:rsidP="00D94F12">
      <w:pPr>
        <w:pStyle w:val="NormalWeb"/>
        <w:shd w:val="clear" w:color="auto" w:fill="FFFFFF"/>
        <w:rPr>
          <w:rFonts w:ascii="Marianne" w:hAnsi="Marianne"/>
          <w:color w:val="3A3A3A"/>
        </w:rPr>
      </w:pPr>
      <w:r>
        <w:rPr>
          <w:rStyle w:val="lev"/>
          <w:rFonts w:ascii="Marianne" w:hAnsi="Marianne"/>
          <w:color w:val="3A3A3A"/>
          <w:shd w:val="clear" w:color="auto" w:fill="FFFFFF"/>
        </w:rPr>
        <w:t>Doté de</w:t>
      </w:r>
      <w:r>
        <w:rPr>
          <w:rFonts w:ascii="Marianne" w:hAnsi="Marianne"/>
          <w:color w:val="3A3A3A"/>
          <w:shd w:val="clear" w:color="auto" w:fill="FFFFFF"/>
        </w:rPr>
        <w:t> </w:t>
      </w:r>
      <w:r>
        <w:rPr>
          <w:rStyle w:val="lev"/>
          <w:rFonts w:ascii="Marianne" w:hAnsi="Marianne"/>
          <w:color w:val="3A3A3A"/>
          <w:shd w:val="clear" w:color="auto" w:fill="FFFFFF"/>
        </w:rPr>
        <w:t>300 millions d’euros pour une période de 5</w:t>
      </w:r>
      <w:r>
        <w:rPr>
          <w:rStyle w:val="nbsp"/>
          <w:rFonts w:ascii="Marianne" w:hAnsi="Marianne"/>
          <w:b/>
          <w:bCs/>
          <w:color w:val="3A3A3A"/>
          <w:shd w:val="clear" w:color="auto" w:fill="FFFFFF"/>
        </w:rPr>
        <w:t> </w:t>
      </w:r>
      <w:r>
        <w:rPr>
          <w:rStyle w:val="lev"/>
          <w:rFonts w:ascii="Marianne" w:hAnsi="Marianne"/>
          <w:color w:val="3A3A3A"/>
          <w:shd w:val="clear" w:color="auto" w:fill="FFFFFF"/>
        </w:rPr>
        <w:t>ans</w:t>
      </w:r>
      <w:r>
        <w:rPr>
          <w:rFonts w:ascii="Marianne" w:hAnsi="Marianne"/>
          <w:color w:val="3A3A3A"/>
          <w:shd w:val="clear" w:color="auto" w:fill="FFFFFF"/>
        </w:rPr>
        <w:t> (du 2</w:t>
      </w:r>
      <w:r>
        <w:rPr>
          <w:rStyle w:val="nbsp"/>
          <w:rFonts w:ascii="Marianne" w:hAnsi="Marianne"/>
          <w:color w:val="3A3A3A"/>
          <w:shd w:val="clear" w:color="auto" w:fill="FFFFFF"/>
        </w:rPr>
        <w:t> </w:t>
      </w:r>
      <w:r>
        <w:rPr>
          <w:rFonts w:ascii="Marianne" w:hAnsi="Marianne"/>
          <w:color w:val="3A3A3A"/>
          <w:shd w:val="clear" w:color="auto" w:fill="FFFFFF"/>
        </w:rPr>
        <w:t>novembre 2023 au 31</w:t>
      </w:r>
      <w:r>
        <w:rPr>
          <w:rStyle w:val="nbsp"/>
          <w:rFonts w:ascii="Marianne" w:hAnsi="Marianne"/>
          <w:color w:val="3A3A3A"/>
          <w:shd w:val="clear" w:color="auto" w:fill="FFFFFF"/>
        </w:rPr>
        <w:t> </w:t>
      </w:r>
      <w:r>
        <w:rPr>
          <w:rFonts w:ascii="Marianne" w:hAnsi="Marianne"/>
          <w:color w:val="3A3A3A"/>
          <w:shd w:val="clear" w:color="auto" w:fill="FFFFFF"/>
        </w:rPr>
        <w:t xml:space="preserve">décembre 2028), ce fonds a pour ambition d’accompagner les </w:t>
      </w:r>
      <w:r>
        <w:rPr>
          <w:rFonts w:ascii="Marianne" w:hAnsi="Marianne"/>
          <w:color w:val="3A3A3A"/>
        </w:rPr>
        <w:t>commerces de proximité, cafés, restaurants, hôtels ou encore les cabinets médicaux dans leur mise en accessibilité. </w:t>
      </w:r>
      <w:r>
        <w:rPr>
          <w:rStyle w:val="lev"/>
          <w:rFonts w:ascii="Marianne" w:hAnsi="Marianne"/>
          <w:color w:val="3A3A3A"/>
        </w:rPr>
        <w:t xml:space="preserve">Il permettra de </w:t>
      </w:r>
      <w:r>
        <w:rPr>
          <w:rStyle w:val="lev"/>
          <w:rFonts w:ascii="Marianne" w:hAnsi="Marianne"/>
          <w:color w:val="3A3A3A"/>
          <w:highlight w:val="yellow"/>
        </w:rPr>
        <w:t>financer à</w:t>
      </w:r>
      <w:r>
        <w:rPr>
          <w:rStyle w:val="lev"/>
          <w:rFonts w:ascii="Marianne" w:hAnsi="Marianne"/>
          <w:color w:val="3A3A3A"/>
        </w:rPr>
        <w:t xml:space="preserve"> </w:t>
      </w:r>
      <w:r>
        <w:rPr>
          <w:rStyle w:val="lev"/>
          <w:rFonts w:ascii="Marianne" w:hAnsi="Marianne"/>
          <w:color w:val="3A3A3A"/>
          <w:highlight w:val="yellow"/>
        </w:rPr>
        <w:t>hauteur de 50</w:t>
      </w:r>
      <w:r>
        <w:rPr>
          <w:rStyle w:val="nbsp"/>
          <w:rFonts w:ascii="Marianne" w:hAnsi="Marianne"/>
          <w:b/>
          <w:bCs/>
          <w:color w:val="3A3A3A"/>
          <w:highlight w:val="yellow"/>
        </w:rPr>
        <w:t> </w:t>
      </w:r>
      <w:r>
        <w:rPr>
          <w:rStyle w:val="lev"/>
          <w:rFonts w:ascii="Marianne" w:hAnsi="Marianne"/>
          <w:color w:val="3A3A3A"/>
          <w:highlight w:val="yellow"/>
        </w:rPr>
        <w:t>%, dans la limite de 20</w:t>
      </w:r>
      <w:r>
        <w:rPr>
          <w:rStyle w:val="nbsp"/>
          <w:rFonts w:ascii="Marianne" w:hAnsi="Marianne"/>
          <w:b/>
          <w:bCs/>
          <w:color w:val="3A3A3A"/>
          <w:highlight w:val="yellow"/>
        </w:rPr>
        <w:t> </w:t>
      </w:r>
      <w:r>
        <w:rPr>
          <w:rStyle w:val="lev"/>
          <w:rFonts w:ascii="Marianne" w:hAnsi="Marianne"/>
          <w:color w:val="3A3A3A"/>
          <w:highlight w:val="yellow"/>
        </w:rPr>
        <w:t>000</w:t>
      </w:r>
      <w:r>
        <w:rPr>
          <w:rStyle w:val="nbsp"/>
          <w:rFonts w:ascii="Marianne" w:hAnsi="Marianne"/>
          <w:b/>
          <w:bCs/>
          <w:color w:val="3A3A3A"/>
          <w:highlight w:val="yellow"/>
        </w:rPr>
        <w:t> </w:t>
      </w:r>
      <w:r>
        <w:rPr>
          <w:rStyle w:val="lev"/>
          <w:rFonts w:ascii="Marianne" w:hAnsi="Marianne"/>
          <w:color w:val="3A3A3A"/>
          <w:highlight w:val="yellow"/>
        </w:rPr>
        <w:t>€,</w:t>
      </w:r>
      <w:r>
        <w:rPr>
          <w:rStyle w:val="lev"/>
          <w:rFonts w:ascii="Marianne" w:hAnsi="Marianne"/>
          <w:color w:val="3A3A3A"/>
        </w:rPr>
        <w:t xml:space="preserve"> les dépenses d’équipements</w:t>
      </w:r>
      <w:r>
        <w:rPr>
          <w:rFonts w:ascii="Marianne" w:hAnsi="Marianne"/>
          <w:color w:val="3A3A3A"/>
        </w:rPr>
        <w:t> (rampes amovibles, vitrophanie, éclairage, etc.) </w:t>
      </w:r>
      <w:r>
        <w:rPr>
          <w:rStyle w:val="lev"/>
          <w:rFonts w:ascii="Marianne" w:hAnsi="Marianne"/>
          <w:color w:val="3A3A3A"/>
        </w:rPr>
        <w:t>et de travaux</w:t>
      </w:r>
      <w:r>
        <w:rPr>
          <w:rFonts w:ascii="Marianne" w:hAnsi="Marianne"/>
          <w:color w:val="3A3A3A"/>
        </w:rPr>
        <w:t> (travaux pour agrandir la largeur des couloirs, pour supprimer une marche à l’entrée, pour adapter les sanitaires, etc.). Les dépenses d’ingénierie et d’assistance à maîtrise d’ouvrage peuvent également être prises en charge.</w:t>
      </w:r>
    </w:p>
    <w:p w14:paraId="55880BE6" w14:textId="77777777" w:rsidR="00D94F12" w:rsidRDefault="00D94F12" w:rsidP="00D94F12">
      <w:pPr>
        <w:pStyle w:val="NormalWeb"/>
        <w:shd w:val="clear" w:color="auto" w:fill="FFFFFF"/>
        <w:rPr>
          <w:rFonts w:ascii="Marianne" w:hAnsi="Marianne"/>
          <w:color w:val="3A3A3A"/>
        </w:rPr>
      </w:pPr>
      <w:r>
        <w:rPr>
          <w:rFonts w:ascii="Marianne" w:hAnsi="Marianne"/>
          <w:color w:val="3A3A3A"/>
        </w:rPr>
        <w:t>Le demandeur pourra déposer plusieurs demandes au titre d’une aide pour travaux et équipements et d’une aide pour de l’ingénierie. Toutefois, </w:t>
      </w:r>
      <w:r>
        <w:rPr>
          <w:rStyle w:val="lev"/>
          <w:rFonts w:ascii="Marianne" w:hAnsi="Marianne"/>
          <w:color w:val="3A3A3A"/>
        </w:rPr>
        <w:t>le montant total</w:t>
      </w:r>
      <w:r>
        <w:rPr>
          <w:rFonts w:ascii="Marianne" w:hAnsi="Marianne"/>
          <w:color w:val="3A3A3A"/>
        </w:rPr>
        <w:t> de l’aide maximale attribuée par ERP est de </w:t>
      </w:r>
      <w:r>
        <w:rPr>
          <w:rStyle w:val="lev"/>
          <w:rFonts w:ascii="Marianne" w:hAnsi="Marianne"/>
          <w:color w:val="3A3A3A"/>
        </w:rPr>
        <w:t>20</w:t>
      </w:r>
      <w:r>
        <w:rPr>
          <w:rStyle w:val="nbsp"/>
          <w:rFonts w:ascii="Marianne" w:hAnsi="Marianne"/>
          <w:b/>
          <w:bCs/>
          <w:color w:val="3A3A3A"/>
        </w:rPr>
        <w:t> </w:t>
      </w:r>
      <w:r>
        <w:rPr>
          <w:rStyle w:val="lev"/>
          <w:rFonts w:ascii="Marianne" w:hAnsi="Marianne"/>
          <w:color w:val="3A3A3A"/>
        </w:rPr>
        <w:t>500</w:t>
      </w:r>
      <w:r>
        <w:rPr>
          <w:rStyle w:val="nbsp"/>
          <w:rFonts w:ascii="Marianne" w:hAnsi="Marianne"/>
          <w:b/>
          <w:bCs/>
          <w:color w:val="3A3A3A"/>
        </w:rPr>
        <w:t> </w:t>
      </w:r>
      <w:r>
        <w:rPr>
          <w:rStyle w:val="lev"/>
          <w:rFonts w:ascii="Marianne" w:hAnsi="Marianne"/>
          <w:color w:val="3A3A3A"/>
        </w:rPr>
        <w:t>€</w:t>
      </w:r>
      <w:r>
        <w:rPr>
          <w:rFonts w:ascii="Marianne" w:hAnsi="Marianne"/>
          <w:color w:val="3A3A3A"/>
        </w:rPr>
        <w:t>.</w:t>
      </w:r>
    </w:p>
    <w:p w14:paraId="5F3D6B37" w14:textId="77777777" w:rsidR="00D94F12" w:rsidRDefault="00D94F12" w:rsidP="00D94F12">
      <w:pPr>
        <w:rPr>
          <w:rFonts w:ascii="Marianne" w:hAnsi="Marianne"/>
          <w:color w:val="3A3A3A"/>
          <w:sz w:val="24"/>
          <w:szCs w:val="24"/>
          <w:shd w:val="clear" w:color="auto" w:fill="FFFFFF"/>
        </w:rPr>
      </w:pPr>
      <w:r>
        <w:rPr>
          <w:rFonts w:ascii="Marianne" w:hAnsi="Marianne"/>
          <w:color w:val="3A3A3A"/>
          <w:sz w:val="24"/>
          <w:szCs w:val="24"/>
          <w:shd w:val="clear" w:color="auto" w:fill="FFFFFF"/>
        </w:rPr>
        <w:t>Déposer la demande sur le guichet en ligne de l’</w:t>
      </w:r>
      <w:r>
        <w:rPr>
          <w:rStyle w:val="lev"/>
          <w:rFonts w:ascii="Marianne" w:hAnsi="Marianne"/>
          <w:color w:val="3A3A3A"/>
          <w:sz w:val="24"/>
          <w:szCs w:val="24"/>
          <w:shd w:val="clear" w:color="auto" w:fill="FFFFFF"/>
        </w:rPr>
        <w:t>Agence de services et de paiement (ASP)</w:t>
      </w:r>
      <w:r>
        <w:rPr>
          <w:rFonts w:ascii="Marianne" w:hAnsi="Marianne"/>
          <w:color w:val="3A3A3A"/>
          <w:sz w:val="24"/>
          <w:szCs w:val="24"/>
          <w:shd w:val="clear" w:color="auto" w:fill="FFFFFF"/>
        </w:rPr>
        <w:t> à l’adresse suivante</w:t>
      </w:r>
      <w:r>
        <w:rPr>
          <w:rStyle w:val="nbsp"/>
          <w:rFonts w:ascii="Marianne" w:hAnsi="Marianne"/>
          <w:color w:val="3A3A3A"/>
          <w:sz w:val="24"/>
          <w:szCs w:val="24"/>
          <w:shd w:val="clear" w:color="auto" w:fill="FFFFFF"/>
        </w:rPr>
        <w:t> </w:t>
      </w:r>
      <w:r>
        <w:rPr>
          <w:rFonts w:ascii="Marianne" w:hAnsi="Marianne"/>
          <w:color w:val="3A3A3A"/>
          <w:sz w:val="24"/>
          <w:szCs w:val="24"/>
          <w:shd w:val="clear" w:color="auto" w:fill="FFFFFF"/>
        </w:rPr>
        <w:t>: </w:t>
      </w:r>
      <w:hyperlink r:id="rId5" w:tgtFrame="_blank" w:history="1">
        <w:r>
          <w:rPr>
            <w:rStyle w:val="Lienhypertexte"/>
            <w:rFonts w:ascii="Marianne" w:hAnsi="Marianne"/>
            <w:sz w:val="24"/>
            <w:szCs w:val="24"/>
            <w:shd w:val="clear" w:color="auto" w:fill="FFFFFF"/>
          </w:rPr>
          <w:t>http://asp-public.fr</w:t>
        </w:r>
      </w:hyperlink>
      <w:r>
        <w:rPr>
          <w:rFonts w:ascii="Marianne" w:hAnsi="Marianne"/>
          <w:color w:val="3A3A3A"/>
          <w:sz w:val="24"/>
          <w:szCs w:val="24"/>
          <w:shd w:val="clear" w:color="auto" w:fill="FFFFFF"/>
        </w:rPr>
        <w:t>.</w:t>
      </w:r>
    </w:p>
    <w:p w14:paraId="52471610" w14:textId="77777777" w:rsidR="00D94F12" w:rsidRDefault="00D94F12" w:rsidP="00D94F12">
      <w:pPr>
        <w:shd w:val="clear" w:color="auto" w:fill="FFFFFF"/>
        <w:spacing w:before="100" w:beforeAutospacing="1" w:after="100" w:afterAutospacing="1" w:line="240" w:lineRule="auto"/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</w:pPr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Pour qu’un ERP puisse bénéficier d’une aide de l’État au titre du fonds territorial d’accessibilité, il devra remplir les critères d’éligibilité suivants (cumulatifs) :</w:t>
      </w:r>
    </w:p>
    <w:p w14:paraId="0C265209" w14:textId="77777777" w:rsidR="00D94F12" w:rsidRDefault="00D94F12" w:rsidP="00D94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</w:pPr>
      <w:r>
        <w:rPr>
          <w:rFonts w:ascii="Marianne" w:eastAsia="Times New Roman" w:hAnsi="Marianne" w:cs="Times New Roman"/>
          <w:b/>
          <w:bCs/>
          <w:color w:val="3A3A3A"/>
          <w:sz w:val="24"/>
          <w:szCs w:val="24"/>
          <w:lang w:eastAsia="fr-FR"/>
        </w:rPr>
        <w:t>être inaccessible ou partiellement accessible</w:t>
      </w:r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 et avoir un projet de mise en accessibilité totale ou partielle ;</w:t>
      </w:r>
    </w:p>
    <w:p w14:paraId="3525DE2A" w14:textId="77777777" w:rsidR="00D94F12" w:rsidRDefault="00D94F12" w:rsidP="00D94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</w:pPr>
      <w:r>
        <w:rPr>
          <w:rFonts w:ascii="Marianne" w:eastAsia="Times New Roman" w:hAnsi="Marianne" w:cs="Times New Roman"/>
          <w:b/>
          <w:bCs/>
          <w:color w:val="3A3A3A"/>
          <w:sz w:val="24"/>
          <w:szCs w:val="24"/>
          <w:lang w:eastAsia="fr-FR"/>
        </w:rPr>
        <w:t>être une TPE/PME</w:t>
      </w:r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 ;</w:t>
      </w:r>
    </w:p>
    <w:p w14:paraId="08C8C242" w14:textId="77777777" w:rsidR="00D94F12" w:rsidRDefault="00D94F12" w:rsidP="00D94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</w:pPr>
      <w:r>
        <w:rPr>
          <w:rFonts w:ascii="Marianne" w:eastAsia="Times New Roman" w:hAnsi="Marianne" w:cs="Times New Roman"/>
          <w:b/>
          <w:bCs/>
          <w:color w:val="3A3A3A"/>
          <w:sz w:val="24"/>
          <w:szCs w:val="24"/>
          <w:lang w:eastAsia="fr-FR"/>
        </w:rPr>
        <w:t>avoir été créé avant le 20 septembre 2023</w:t>
      </w:r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 et ne pas se trouver en procédure de liquidation judiciaire à la date du dépôt de la demande ;</w:t>
      </w:r>
    </w:p>
    <w:p w14:paraId="18D11F04" w14:textId="77777777" w:rsidR="00D94F12" w:rsidRDefault="00D94F12" w:rsidP="00D94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</w:pPr>
      <w:r>
        <w:rPr>
          <w:rFonts w:ascii="Marianne" w:eastAsia="Times New Roman" w:hAnsi="Marianne" w:cs="Times New Roman"/>
          <w:b/>
          <w:bCs/>
          <w:color w:val="3A3A3A"/>
          <w:sz w:val="24"/>
          <w:szCs w:val="24"/>
          <w:lang w:eastAsia="fr-FR"/>
        </w:rPr>
        <w:t>être inscrit au registre national des entreprises</w:t>
      </w:r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 </w:t>
      </w:r>
      <w:r>
        <w:rPr>
          <w:rFonts w:ascii="Marianne" w:eastAsia="Times New Roman" w:hAnsi="Marianne" w:cs="Times New Roman"/>
          <w:b/>
          <w:bCs/>
          <w:color w:val="3A3A3A"/>
          <w:sz w:val="24"/>
          <w:szCs w:val="24"/>
          <w:lang w:eastAsia="fr-FR"/>
        </w:rPr>
        <w:t>et être à jour des obligations à l'égard de l'administration fiscale</w:t>
      </w:r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 et de l'organisme de recouvrement des cotisations patronales de sécurité sociale.</w:t>
      </w:r>
    </w:p>
    <w:p w14:paraId="637D789F" w14:textId="77777777" w:rsidR="006813AC" w:rsidRDefault="006813AC"/>
    <w:sectPr w:rsidR="0068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BB8"/>
    <w:multiLevelType w:val="hybridMultilevel"/>
    <w:tmpl w:val="EC7E2EAA"/>
    <w:lvl w:ilvl="0" w:tplc="A5A64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5A1F"/>
    <w:multiLevelType w:val="hybridMultilevel"/>
    <w:tmpl w:val="D52C98A2"/>
    <w:lvl w:ilvl="0" w:tplc="A6FCA92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BDB70BD"/>
    <w:multiLevelType w:val="multilevel"/>
    <w:tmpl w:val="A37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2422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6842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67824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2"/>
    <w:rsid w:val="006813AC"/>
    <w:rsid w:val="00762E58"/>
    <w:rsid w:val="00D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32B0"/>
  <w15:chartTrackingRefBased/>
  <w15:docId w15:val="{66256132-D0CA-44B9-A5F4-E2289DAC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F12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94F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94F12"/>
    <w:pPr>
      <w:ind w:left="720"/>
      <w:contextualSpacing/>
    </w:pPr>
  </w:style>
  <w:style w:type="character" w:customStyle="1" w:styleId="nbsp">
    <w:name w:val="nbsp"/>
    <w:basedOn w:val="Policepardfaut"/>
    <w:rsid w:val="00D94F12"/>
  </w:style>
  <w:style w:type="character" w:styleId="lev">
    <w:name w:val="Strong"/>
    <w:basedOn w:val="Policepardfaut"/>
    <w:uiPriority w:val="22"/>
    <w:qFormat/>
    <w:rsid w:val="00D9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p-public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Pays</dc:creator>
  <cp:keywords/>
  <dc:description/>
  <cp:lastModifiedBy>Evelyne Pays</cp:lastModifiedBy>
  <cp:revision>1</cp:revision>
  <dcterms:created xsi:type="dcterms:W3CDTF">2024-06-11T12:18:00Z</dcterms:created>
  <dcterms:modified xsi:type="dcterms:W3CDTF">2024-06-11T12:21:00Z</dcterms:modified>
</cp:coreProperties>
</file>